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Корпоративные финансы</w:t>
            </w:r>
          </w:p>
          <w:p>
            <w:pPr>
              <w:jc w:val="center"/>
              <w:spacing w:after="0" w:line="240" w:lineRule="auto"/>
              <w:rPr>
                <w:sz w:val="32"/>
                <w:szCs w:val="32"/>
              </w:rPr>
            </w:pPr>
            <w:r>
              <w:rPr>
                <w:rFonts w:ascii="Times New Roman" w:hAnsi="Times New Roman" w:cs="Times New Roman"/>
                <w:color w:val="#000000"/>
                <w:sz w:val="32"/>
                <w:szCs w:val="32"/>
              </w:rPr>
              <w:t> Б1.О.04.06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«Корпоративные финансы»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Б1.О.04.06 «Корпоративные 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«Корпоративные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экономической и управленческой теории при решении оперативных и тактических задач в торгово-экономической, торгово- организационной, торгово-технологической и административно-управленческой сферах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основы антимонопольного законодательства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применения знаний основных направлений социально- экономической политики, национальной экономики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Б1.О.04.06 «Корпоративные финансы»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бухгалтерского учета</w:t>
            </w:r>
          </w:p>
          <w:p>
            <w:pPr>
              <w:jc w:val="center"/>
              <w:spacing w:after="0" w:line="240" w:lineRule="auto"/>
              <w:rPr>
                <w:sz w:val="22"/>
                <w:szCs w:val="22"/>
              </w:rPr>
            </w:pPr>
            <w:r>
              <w:rPr>
                <w:rFonts w:ascii="Times New Roman" w:hAnsi="Times New Roman" w:cs="Times New Roman"/>
                <w:color w:val="#000000"/>
                <w:sz w:val="22"/>
                <w:szCs w:val="22"/>
              </w:rPr>
              <w:t> Экономика торговой отрасли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бизнес-процессами</w:t>
            </w:r>
          </w:p>
          <w:p>
            <w:pPr>
              <w:jc w:val="center"/>
              <w:spacing w:after="0" w:line="240" w:lineRule="auto"/>
              <w:rPr>
                <w:sz w:val="22"/>
                <w:szCs w:val="22"/>
              </w:rPr>
            </w:pPr>
            <w:r>
              <w:rPr>
                <w:rFonts w:ascii="Times New Roman" w:hAnsi="Times New Roman" w:cs="Times New Roman"/>
                <w:color w:val="#000000"/>
                <w:sz w:val="22"/>
                <w:szCs w:val="22"/>
              </w:rPr>
              <w:t> Финансирование закупочной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ОПК-1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корпоративных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построения финансовой политики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политика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Доходы, расходы и прибыль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Оборотный капитал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результатов деятельности корпораций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Инвестиции в основной капитал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Финансовые результаты деятельности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 корпорациях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Риски в деятельности корпораций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устойчивость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Портфель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240.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построения финансовой политики корпорации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финансовой политики</w:t>
            </w:r>
          </w:p>
          <w:p>
            <w:pPr>
              <w:jc w:val="both"/>
              <w:spacing w:after="0" w:line="240" w:lineRule="auto"/>
              <w:rPr>
                <w:sz w:val="24"/>
                <w:szCs w:val="24"/>
              </w:rPr>
            </w:pPr>
            <w:r>
              <w:rPr>
                <w:rFonts w:ascii="Times New Roman" w:hAnsi="Times New Roman" w:cs="Times New Roman"/>
                <w:color w:val="#000000"/>
                <w:sz w:val="24"/>
                <w:szCs w:val="24"/>
              </w:rPr>
              <w:t> Виды корпораций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политика корпорации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финансовой политики корпорации</w:t>
            </w:r>
          </w:p>
          <w:p>
            <w:pPr>
              <w:jc w:val="both"/>
              <w:spacing w:after="0" w:line="240" w:lineRule="auto"/>
              <w:rPr>
                <w:sz w:val="24"/>
                <w:szCs w:val="24"/>
              </w:rPr>
            </w:pPr>
            <w:r>
              <w:rPr>
                <w:rFonts w:ascii="Times New Roman" w:hAnsi="Times New Roman" w:cs="Times New Roman"/>
                <w:color w:val="#000000"/>
                <w:sz w:val="24"/>
                <w:szCs w:val="24"/>
              </w:rPr>
              <w:t> Критерии выбора финансовой политики корпорации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Доходы, расходы и прибыль корпорации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Доходы и прибыль корпорации</w:t>
            </w:r>
          </w:p>
          <w:p>
            <w:pPr>
              <w:jc w:val="both"/>
              <w:spacing w:after="0" w:line="240" w:lineRule="auto"/>
              <w:rPr>
                <w:sz w:val="24"/>
                <w:szCs w:val="24"/>
              </w:rPr>
            </w:pPr>
            <w:r>
              <w:rPr>
                <w:rFonts w:ascii="Times New Roman" w:hAnsi="Times New Roman" w:cs="Times New Roman"/>
                <w:color w:val="#000000"/>
                <w:sz w:val="24"/>
                <w:szCs w:val="24"/>
              </w:rPr>
              <w:t> Расходы корпорации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Оборотный капитал корпорации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оборотного капитала</w:t>
            </w:r>
          </w:p>
          <w:p>
            <w:pPr>
              <w:jc w:val="both"/>
              <w:spacing w:after="0" w:line="240" w:lineRule="auto"/>
              <w:rPr>
                <w:sz w:val="24"/>
                <w:szCs w:val="24"/>
              </w:rPr>
            </w:pPr>
            <w:r>
              <w:rPr>
                <w:rFonts w:ascii="Times New Roman" w:hAnsi="Times New Roman" w:cs="Times New Roman"/>
                <w:color w:val="#000000"/>
                <w:sz w:val="24"/>
                <w:szCs w:val="24"/>
              </w:rPr>
              <w:t> Источники оборотного капитала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средства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определения основных средств</w:t>
            </w:r>
          </w:p>
          <w:p>
            <w:pPr>
              <w:jc w:val="both"/>
              <w:spacing w:after="0" w:line="240" w:lineRule="auto"/>
              <w:rPr>
                <w:sz w:val="24"/>
                <w:szCs w:val="24"/>
              </w:rPr>
            </w:pPr>
            <w:r>
              <w:rPr>
                <w:rFonts w:ascii="Times New Roman" w:hAnsi="Times New Roman" w:cs="Times New Roman"/>
                <w:color w:val="#000000"/>
                <w:sz w:val="24"/>
                <w:szCs w:val="24"/>
              </w:rPr>
              <w:t> Типы основных средств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Инвестиции в основной капитал</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инвестиций</w:t>
            </w:r>
          </w:p>
          <w:p>
            <w:pPr>
              <w:jc w:val="both"/>
              <w:spacing w:after="0" w:line="240" w:lineRule="auto"/>
              <w:rPr>
                <w:sz w:val="24"/>
                <w:szCs w:val="24"/>
              </w:rPr>
            </w:pPr>
            <w:r>
              <w:rPr>
                <w:rFonts w:ascii="Times New Roman" w:hAnsi="Times New Roman" w:cs="Times New Roman"/>
                <w:color w:val="#000000"/>
                <w:sz w:val="24"/>
                <w:szCs w:val="24"/>
              </w:rPr>
              <w:t> Финансовое обоснование инвестиций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Финансовые результаты деятельности корпорации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Сводные отчеты финансовой деятельности</w:t>
            </w:r>
          </w:p>
          <w:p>
            <w:pPr>
              <w:jc w:val="both"/>
              <w:spacing w:after="0" w:line="240" w:lineRule="auto"/>
              <w:rPr>
                <w:sz w:val="24"/>
                <w:szCs w:val="24"/>
              </w:rPr>
            </w:pPr>
            <w:r>
              <w:rPr>
                <w:rFonts w:ascii="Times New Roman" w:hAnsi="Times New Roman" w:cs="Times New Roman"/>
                <w:color w:val="#000000"/>
                <w:sz w:val="24"/>
                <w:szCs w:val="24"/>
              </w:rPr>
              <w:t> Методы определения финансовых результатов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 корпорациях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корпоративных планов</w:t>
            </w:r>
          </w:p>
          <w:p>
            <w:pPr>
              <w:jc w:val="both"/>
              <w:spacing w:after="0" w:line="240" w:lineRule="auto"/>
              <w:rPr>
                <w:sz w:val="24"/>
                <w:szCs w:val="24"/>
              </w:rPr>
            </w:pPr>
            <w:r>
              <w:rPr>
                <w:rFonts w:ascii="Times New Roman" w:hAnsi="Times New Roman" w:cs="Times New Roman"/>
                <w:color w:val="#000000"/>
                <w:sz w:val="24"/>
                <w:szCs w:val="24"/>
              </w:rPr>
              <w:t> Периодичность планирования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устойчивость корпорации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критерии устойчивости</w:t>
            </w:r>
          </w:p>
          <w:p>
            <w:pPr>
              <w:jc w:val="both"/>
              <w:spacing w:after="0" w:line="240" w:lineRule="auto"/>
              <w:rPr>
                <w:sz w:val="24"/>
                <w:szCs w:val="24"/>
              </w:rPr>
            </w:pPr>
            <w:r>
              <w:rPr>
                <w:rFonts w:ascii="Times New Roman" w:hAnsi="Times New Roman" w:cs="Times New Roman"/>
                <w:color w:val="#000000"/>
                <w:sz w:val="24"/>
                <w:szCs w:val="24"/>
              </w:rPr>
              <w:t> Слабые места корпорации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финансовыми рисками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риска и их виды</w:t>
            </w:r>
          </w:p>
          <w:p>
            <w:pPr>
              <w:jc w:val="both"/>
              <w:spacing w:after="0" w:line="240" w:lineRule="auto"/>
              <w:rPr>
                <w:sz w:val="24"/>
                <w:szCs w:val="24"/>
              </w:rPr>
            </w:pPr>
            <w:r>
              <w:rPr>
                <w:rFonts w:ascii="Times New Roman" w:hAnsi="Times New Roman" w:cs="Times New Roman"/>
                <w:color w:val="#000000"/>
                <w:sz w:val="24"/>
                <w:szCs w:val="24"/>
              </w:rPr>
              <w:t> Методы и технологии снижения финансовых рисков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Портфель ценных бумаг</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портфеля ценных бумаг</w:t>
            </w:r>
          </w:p>
          <w:p>
            <w:pPr>
              <w:jc w:val="both"/>
              <w:spacing w:after="0" w:line="240" w:lineRule="auto"/>
              <w:rPr>
                <w:sz w:val="24"/>
                <w:szCs w:val="24"/>
              </w:rPr>
            </w:pPr>
            <w:r>
              <w:rPr>
                <w:rFonts w:ascii="Times New Roman" w:hAnsi="Times New Roman" w:cs="Times New Roman"/>
                <w:color w:val="#000000"/>
                <w:sz w:val="24"/>
                <w:szCs w:val="24"/>
              </w:rPr>
              <w:t> Оптимальный размер портфеля</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Финансовые ресурсы корпорации</w:t>
            </w:r>
          </w:p>
          <w:p>
            <w:pPr>
              <w:jc w:val="both"/>
              <w:spacing w:after="0" w:line="240" w:lineRule="auto"/>
              <w:rPr>
                <w:sz w:val="24"/>
                <w:szCs w:val="24"/>
              </w:rPr>
            </w:pPr>
            <w:r>
              <w:rPr>
                <w:rFonts w:ascii="Times New Roman" w:hAnsi="Times New Roman" w:cs="Times New Roman"/>
                <w:color w:val="#000000"/>
                <w:sz w:val="24"/>
                <w:szCs w:val="24"/>
              </w:rPr>
              <w:t> Обязанности финансового менеджера</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Финансовые инвестиции корпораций</w:t>
            </w:r>
          </w:p>
          <w:p>
            <w:pPr>
              <w:jc w:val="both"/>
              <w:spacing w:after="0" w:line="240" w:lineRule="auto"/>
              <w:rPr>
                <w:sz w:val="24"/>
                <w:szCs w:val="24"/>
              </w:rPr>
            </w:pPr>
            <w:r>
              <w:rPr>
                <w:rFonts w:ascii="Times New Roman" w:hAnsi="Times New Roman" w:cs="Times New Roman"/>
                <w:color w:val="#000000"/>
                <w:sz w:val="24"/>
                <w:szCs w:val="24"/>
              </w:rPr>
              <w:t> Концептуальные подходы к финансовой политике корпорации</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прогнозирование в деятельности корпорации</w:t>
            </w:r>
          </w:p>
          <w:p>
            <w:pPr>
              <w:jc w:val="both"/>
              <w:spacing w:after="0" w:line="240" w:lineRule="auto"/>
              <w:rPr>
                <w:sz w:val="24"/>
                <w:szCs w:val="24"/>
              </w:rPr>
            </w:pPr>
            <w:r>
              <w:rPr>
                <w:rFonts w:ascii="Times New Roman" w:hAnsi="Times New Roman" w:cs="Times New Roman"/>
                <w:color w:val="#000000"/>
                <w:sz w:val="24"/>
                <w:szCs w:val="24"/>
              </w:rPr>
              <w:t> Система показателей оценки деятельности корпорации</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формирования оборотного капитала</w:t>
            </w:r>
          </w:p>
          <w:p>
            <w:pPr>
              <w:jc w:val="both"/>
              <w:spacing w:after="0" w:line="240" w:lineRule="auto"/>
              <w:rPr>
                <w:sz w:val="24"/>
                <w:szCs w:val="24"/>
              </w:rPr>
            </w:pPr>
            <w:r>
              <w:rPr>
                <w:rFonts w:ascii="Times New Roman" w:hAnsi="Times New Roman" w:cs="Times New Roman"/>
                <w:color w:val="#000000"/>
                <w:sz w:val="24"/>
                <w:szCs w:val="24"/>
              </w:rPr>
              <w:t> Структура оборотного капитала</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основных средств корпорации</w:t>
            </w:r>
          </w:p>
          <w:p>
            <w:pPr>
              <w:jc w:val="both"/>
              <w:spacing w:after="0" w:line="240" w:lineRule="auto"/>
              <w:rPr>
                <w:sz w:val="24"/>
                <w:szCs w:val="24"/>
              </w:rPr>
            </w:pPr>
            <w:r>
              <w:rPr>
                <w:rFonts w:ascii="Times New Roman" w:hAnsi="Times New Roman" w:cs="Times New Roman"/>
                <w:color w:val="#000000"/>
                <w:sz w:val="24"/>
                <w:szCs w:val="24"/>
              </w:rPr>
              <w:t> Финансовые рычаги управления</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поступления инвестиций</w:t>
            </w:r>
          </w:p>
          <w:p>
            <w:pPr>
              <w:jc w:val="both"/>
              <w:spacing w:after="0" w:line="240" w:lineRule="auto"/>
              <w:rPr>
                <w:sz w:val="24"/>
                <w:szCs w:val="24"/>
              </w:rPr>
            </w:pPr>
            <w:r>
              <w:rPr>
                <w:rFonts w:ascii="Times New Roman" w:hAnsi="Times New Roman" w:cs="Times New Roman"/>
                <w:color w:val="#000000"/>
                <w:sz w:val="24"/>
                <w:szCs w:val="24"/>
              </w:rPr>
              <w:t> Инвестиционный бюджет</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доходности корпорации</w:t>
            </w:r>
          </w:p>
          <w:p>
            <w:pPr>
              <w:jc w:val="both"/>
              <w:spacing w:after="0" w:line="240" w:lineRule="auto"/>
              <w:rPr>
                <w:sz w:val="24"/>
                <w:szCs w:val="24"/>
              </w:rPr>
            </w:pPr>
            <w:r>
              <w:rPr>
                <w:rFonts w:ascii="Times New Roman" w:hAnsi="Times New Roman" w:cs="Times New Roman"/>
                <w:color w:val="#000000"/>
                <w:sz w:val="24"/>
                <w:szCs w:val="24"/>
              </w:rPr>
              <w:t> Целевые ориентиры деятельности</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 методы планирования</w:t>
            </w:r>
          </w:p>
          <w:p>
            <w:pPr>
              <w:jc w:val="both"/>
              <w:spacing w:after="0" w:line="240" w:lineRule="auto"/>
              <w:rPr>
                <w:sz w:val="24"/>
                <w:szCs w:val="24"/>
              </w:rPr>
            </w:pPr>
            <w:r>
              <w:rPr>
                <w:rFonts w:ascii="Times New Roman" w:hAnsi="Times New Roman" w:cs="Times New Roman"/>
                <w:color w:val="#000000"/>
                <w:sz w:val="24"/>
                <w:szCs w:val="24"/>
              </w:rPr>
              <w:t> Процедуры финансового планирования в корпорации</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финансового плана</w:t>
            </w:r>
          </w:p>
          <w:p>
            <w:pPr>
              <w:jc w:val="both"/>
              <w:spacing w:after="0" w:line="240" w:lineRule="auto"/>
              <w:rPr>
                <w:sz w:val="24"/>
                <w:szCs w:val="24"/>
              </w:rPr>
            </w:pPr>
            <w:r>
              <w:rPr>
                <w:rFonts w:ascii="Times New Roman" w:hAnsi="Times New Roman" w:cs="Times New Roman"/>
                <w:color w:val="#000000"/>
                <w:sz w:val="24"/>
                <w:szCs w:val="24"/>
              </w:rPr>
              <w:t> Поиск источников и резервов финансовой устойчивости</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Прогнозирование рисков</w:t>
            </w:r>
          </w:p>
          <w:p>
            <w:pPr>
              <w:jc w:val="both"/>
              <w:spacing w:after="0" w:line="240" w:lineRule="auto"/>
              <w:rPr>
                <w:sz w:val="24"/>
                <w:szCs w:val="24"/>
              </w:rPr>
            </w:pPr>
            <w:r>
              <w:rPr>
                <w:rFonts w:ascii="Times New Roman" w:hAnsi="Times New Roman" w:cs="Times New Roman"/>
                <w:color w:val="#000000"/>
                <w:sz w:val="24"/>
                <w:szCs w:val="24"/>
              </w:rPr>
              <w:t> Многофакторные модели хеджирования</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Фондовый портфель</w:t>
            </w:r>
          </w:p>
          <w:p>
            <w:pPr>
              <w:jc w:val="both"/>
              <w:spacing w:after="0" w:line="240" w:lineRule="auto"/>
              <w:rPr>
                <w:sz w:val="24"/>
                <w:szCs w:val="24"/>
              </w:rPr>
            </w:pPr>
            <w:r>
              <w:rPr>
                <w:rFonts w:ascii="Times New Roman" w:hAnsi="Times New Roman" w:cs="Times New Roman"/>
                <w:color w:val="#000000"/>
                <w:sz w:val="24"/>
                <w:szCs w:val="24"/>
              </w:rPr>
              <w:t> Диверсификация фондового портфеля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«Корпоративные финансы»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https://urait.ru/bcode/451190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Леонтьев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Бочаров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Радковская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978-5-534-04842-1.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https://urait.ru/bcode/450106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Овечкина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978-5-534-05354-8.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https://urait.ru/bcode/454476</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решения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ценность</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Ибрагимов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https://urait.ru/bcode/451620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2023-2024_ФГОС3++2023_Бак-ОФО-ТД(ОиУЗД)(23)_plx_Корпоративные финансы</dc:title>
  <dc:creator>FastReport.NET</dc:creator>
</cp:coreProperties>
</file>